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5" w:rsidRDefault="009C13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1335" w:rsidRDefault="009C1335">
      <w:pPr>
        <w:pStyle w:val="ConsPlusNormal"/>
        <w:jc w:val="both"/>
        <w:outlineLvl w:val="0"/>
      </w:pPr>
    </w:p>
    <w:p w:rsidR="009C1335" w:rsidRDefault="009C1335">
      <w:pPr>
        <w:pStyle w:val="ConsPlusNormal"/>
        <w:outlineLvl w:val="0"/>
      </w:pPr>
      <w:r>
        <w:t>Зарегистрировано в Минюсте России 26 мая 2020 г. N 58465</w:t>
      </w:r>
    </w:p>
    <w:p w:rsidR="009C1335" w:rsidRDefault="009C1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</w:pPr>
      <w:r>
        <w:t>ФЕДЕРАЛЬНАЯ СЛУЖБА ПО НАДЗОРУ В СФЕРЕ ЗАЩИТЫ</w:t>
      </w:r>
    </w:p>
    <w:p w:rsidR="009C1335" w:rsidRDefault="009C1335">
      <w:pPr>
        <w:pStyle w:val="ConsPlusTitle"/>
        <w:jc w:val="center"/>
      </w:pPr>
      <w:r>
        <w:t>ПРАВ ПОТРЕБИТЕЛЕЙ И БЛАГОПОЛУЧИЯ ЧЕЛОВЕКА</w:t>
      </w:r>
    </w:p>
    <w:p w:rsidR="009C1335" w:rsidRDefault="009C1335">
      <w:pPr>
        <w:pStyle w:val="ConsPlusTitle"/>
        <w:jc w:val="center"/>
      </w:pPr>
    </w:p>
    <w:p w:rsidR="009C1335" w:rsidRDefault="009C1335">
      <w:pPr>
        <w:pStyle w:val="ConsPlusTitle"/>
        <w:jc w:val="center"/>
      </w:pPr>
      <w:r>
        <w:t>ГЛАВНЫЙ ГОСУДАРСТВЕННЫЙ САНИТАРНЫЙ ВРАЧ</w:t>
      </w:r>
    </w:p>
    <w:p w:rsidR="009C1335" w:rsidRDefault="009C1335">
      <w:pPr>
        <w:pStyle w:val="ConsPlusTitle"/>
        <w:jc w:val="center"/>
      </w:pPr>
      <w:r>
        <w:t>РОССИЙСКОЙ ФЕДЕРАЦИИ</w:t>
      </w:r>
    </w:p>
    <w:p w:rsidR="009C1335" w:rsidRDefault="009C1335">
      <w:pPr>
        <w:pStyle w:val="ConsPlusTitle"/>
        <w:jc w:val="center"/>
      </w:pPr>
    </w:p>
    <w:p w:rsidR="009C1335" w:rsidRDefault="009C1335">
      <w:pPr>
        <w:pStyle w:val="ConsPlusTitle"/>
        <w:jc w:val="center"/>
      </w:pPr>
      <w:r>
        <w:t>ПОСТАНОВЛЕНИЕ</w:t>
      </w:r>
    </w:p>
    <w:p w:rsidR="009C1335" w:rsidRDefault="009C1335">
      <w:pPr>
        <w:pStyle w:val="ConsPlusTitle"/>
        <w:jc w:val="center"/>
      </w:pPr>
      <w:r>
        <w:t>от 22 мая 2020 г. N 15</w:t>
      </w:r>
    </w:p>
    <w:p w:rsidR="009C1335" w:rsidRDefault="009C1335">
      <w:pPr>
        <w:pStyle w:val="ConsPlusTitle"/>
        <w:jc w:val="center"/>
      </w:pPr>
    </w:p>
    <w:p w:rsidR="009C1335" w:rsidRDefault="009C1335">
      <w:pPr>
        <w:pStyle w:val="ConsPlusTitle"/>
        <w:jc w:val="center"/>
      </w:pPr>
      <w:r>
        <w:t>ОБ УТВЕРЖДЕНИИ САНИТАРНО-ЭПИДЕМИОЛОГИЧЕСКИХ ПРАВИЛ</w:t>
      </w:r>
    </w:p>
    <w:p w:rsidR="009C1335" w:rsidRDefault="009C1335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9C1335" w:rsidRDefault="009C1335">
      <w:pPr>
        <w:pStyle w:val="ConsPlusTitle"/>
        <w:jc w:val="center"/>
      </w:pPr>
      <w:r>
        <w:t>ИНФЕКЦИИ (COVID-19)"</w:t>
      </w:r>
    </w:p>
    <w:p w:rsidR="009C1335" w:rsidRDefault="009C1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335" w:rsidRDefault="009C1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335" w:rsidRDefault="009C13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9C1335" w:rsidRDefault="009C1335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bookmarkStart w:id="0" w:name="_GoBack"/>
      <w:r>
        <w:t>СП 3.1.3597-20 "Профилактика новой коронавирусной инфекции (COVID-19)"</w:t>
      </w:r>
      <w:bookmarkEnd w:id="0"/>
      <w:r>
        <w:t xml:space="preserve">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2022 г.</w:t>
      </w:r>
    </w:p>
    <w:p w:rsidR="009C1335" w:rsidRDefault="009C133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right"/>
      </w:pPr>
      <w:r>
        <w:t>А.Ю. Попова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right"/>
        <w:outlineLvl w:val="0"/>
      </w:pPr>
      <w:r>
        <w:t>Приложение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right"/>
      </w:pPr>
      <w:r>
        <w:t>Утверждены</w:t>
      </w:r>
    </w:p>
    <w:p w:rsidR="009C1335" w:rsidRDefault="009C1335">
      <w:pPr>
        <w:pStyle w:val="ConsPlusNormal"/>
        <w:jc w:val="right"/>
      </w:pPr>
      <w:r>
        <w:t>Постановлением</w:t>
      </w:r>
    </w:p>
    <w:p w:rsidR="009C1335" w:rsidRDefault="009C1335">
      <w:pPr>
        <w:pStyle w:val="ConsPlusNormal"/>
        <w:jc w:val="right"/>
      </w:pPr>
      <w:r>
        <w:t>Главного государственного</w:t>
      </w:r>
    </w:p>
    <w:p w:rsidR="009C1335" w:rsidRDefault="009C1335">
      <w:pPr>
        <w:pStyle w:val="ConsPlusNormal"/>
        <w:jc w:val="right"/>
      </w:pPr>
      <w:r>
        <w:t>санитарного врача</w:t>
      </w:r>
    </w:p>
    <w:p w:rsidR="009C1335" w:rsidRDefault="009C1335">
      <w:pPr>
        <w:pStyle w:val="ConsPlusNormal"/>
        <w:jc w:val="right"/>
      </w:pPr>
      <w:r>
        <w:t>Российской Федерации</w:t>
      </w:r>
    </w:p>
    <w:p w:rsidR="009C1335" w:rsidRDefault="009C1335">
      <w:pPr>
        <w:pStyle w:val="ConsPlusNormal"/>
        <w:jc w:val="right"/>
      </w:pPr>
      <w:r>
        <w:t>от 22.05.2020 N 15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</w:pPr>
      <w:bookmarkStart w:id="1" w:name="P40"/>
      <w:bookmarkEnd w:id="1"/>
      <w:r>
        <w:t>САНИТАРНО-ЭПИДЕМИОЛОГИЧЕСКИЕ ПРАВИЛА</w:t>
      </w:r>
    </w:p>
    <w:p w:rsidR="009C1335" w:rsidRDefault="009C1335">
      <w:pPr>
        <w:pStyle w:val="ConsPlusTitle"/>
        <w:jc w:val="center"/>
      </w:pPr>
      <w:r>
        <w:lastRenderedPageBreak/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9C1335" w:rsidRDefault="009C1335">
      <w:pPr>
        <w:pStyle w:val="ConsPlusTitle"/>
        <w:jc w:val="center"/>
      </w:pPr>
      <w:r>
        <w:t>ИНФЕКЦИИ (COVID-19)"</w:t>
      </w:r>
    </w:p>
    <w:p w:rsidR="009C1335" w:rsidRDefault="009C1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335" w:rsidRDefault="009C1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335" w:rsidRDefault="009C13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9C1335" w:rsidRDefault="009C1335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I. Общие положения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9C1335" w:rsidRDefault="009C1335">
      <w:pPr>
        <w:pStyle w:val="ConsPlusTitle"/>
        <w:jc w:val="center"/>
      </w:pPr>
      <w:r>
        <w:t>распространения COVID-19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</w:t>
      </w:r>
      <w:r>
        <w:lastRenderedPageBreak/>
        <w:t>индивидуальных предпринимателей;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9C1335" w:rsidRDefault="009C1335">
      <w:pPr>
        <w:pStyle w:val="ConsPlusTitle"/>
        <w:jc w:val="center"/>
      </w:pPr>
      <w:r>
        <w:t>случаев COVID-19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bookmarkStart w:id="2" w:name="P85"/>
      <w:bookmarkEnd w:id="2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- лиц, контактировавших с больным COVID-19, при появлении симптомов, не исключающих </w:t>
      </w:r>
      <w:r>
        <w:lastRenderedPageBreak/>
        <w:t>COVID-19;</w:t>
      </w:r>
    </w:p>
    <w:p w:rsidR="009C1335" w:rsidRDefault="009C133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9C1335" w:rsidRDefault="009C133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lastRenderedPageBreak/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>
        <w:t>календарных</w:t>
      </w:r>
      <w:proofErr w:type="gramEnd"/>
      <w:r>
        <w:t xml:space="preserve"> дня.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9C1335" w:rsidRDefault="009C1335">
      <w:pPr>
        <w:pStyle w:val="ConsPlusNormal"/>
        <w:jc w:val="both"/>
      </w:pPr>
      <w:r>
        <w:t xml:space="preserve">(п. 3.7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3.8. Лицо, контактировавшее с больным COVID-19, находится в изоляции (в обсерваторе,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</w:t>
      </w:r>
      <w:r>
        <w:lastRenderedPageBreak/>
        <w:t>19.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9C1335" w:rsidRDefault="009C1335">
      <w:pPr>
        <w:pStyle w:val="ConsPlusNormal"/>
        <w:jc w:val="both"/>
      </w:pPr>
      <w:r>
        <w:t xml:space="preserve">(п. 3.8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аутоптаты легких, трахеи и селезенки для посмертной диагностики.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9C1335" w:rsidRDefault="009C1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335" w:rsidRDefault="009C1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1335" w:rsidRDefault="009C1335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замене подтверждения результатов лабораторных исследований на COVID-19 Роспотребнадзором на выборочное уточнение результатов исследований проб см. </w:t>
            </w:r>
            <w:hyperlink r:id="rId1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19.09.2020 N 02/19400-2020-32.</w:t>
            </w:r>
          </w:p>
        </w:tc>
      </w:tr>
    </w:tbl>
    <w:p w:rsidR="009C1335" w:rsidRDefault="009C1335">
      <w:pPr>
        <w:pStyle w:val="ConsPlusNormal"/>
        <w:spacing w:before="28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>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9C1335" w:rsidRDefault="009C13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3.13. Федеральные бюджетные учреждения здравоохранения - центры гигиены и </w:t>
      </w:r>
      <w:r>
        <w:lastRenderedPageBreak/>
        <w:t>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9" w:history="1">
        <w:r>
          <w:rPr>
            <w:color w:val="0000FF"/>
          </w:rPr>
          <w:t>исследования</w:t>
        </w:r>
      </w:hyperlink>
      <w:r>
        <w:t xml:space="preserve"> образцов аутопсийных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9C1335" w:rsidRDefault="009C1335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</w:t>
      </w:r>
      <w:r>
        <w:lastRenderedPageBreak/>
        <w:t>со дня контакта с больным COVID-19, назначение экстренной профилактики (профилактического лечения);</w:t>
      </w:r>
      <w:proofErr w:type="gramEnd"/>
    </w:p>
    <w:p w:rsidR="009C1335" w:rsidRDefault="009C133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дезинфекцию;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9C1335" w:rsidRDefault="009C133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4.2.1. Территориальные органы Роспотребнадзора по результатам проведения мероприятий в эпидемических очагах в течение 1 рабочего дня:</w:t>
      </w:r>
    </w:p>
    <w:p w:rsidR="009C1335" w:rsidRDefault="009C1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1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335" w:rsidRDefault="009C1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1335" w:rsidRDefault="009C133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Примерная форма </w:t>
            </w:r>
            <w:hyperlink r:id="rId22" w:history="1">
              <w:r>
                <w:rPr>
                  <w:color w:val="0000FF"/>
                </w:rPr>
                <w:t>уведомления</w:t>
              </w:r>
            </w:hyperlink>
            <w:r>
              <w:rPr>
                <w:color w:val="392C69"/>
              </w:rPr>
              <w:t xml:space="preserve"> о соблюдении режима изоляции лицом, находившимся в контакте с больным COVID-19, направлена письмом Роспотребнадзора от 18.11.2020 N 02/23670-2020-32.</w:t>
            </w:r>
          </w:p>
        </w:tc>
      </w:tr>
    </w:tbl>
    <w:p w:rsidR="009C1335" w:rsidRDefault="009C1335">
      <w:pPr>
        <w:pStyle w:val="ConsPlusNormal"/>
        <w:spacing w:before="280"/>
        <w:ind w:firstLine="540"/>
        <w:jc w:val="both"/>
      </w:pPr>
      <w:r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</w:t>
      </w:r>
      <w:proofErr w:type="gramStart"/>
      <w:r>
        <w:t>дств св</w:t>
      </w:r>
      <w:proofErr w:type="gramEnd"/>
      <w:r>
        <w:t>язи;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9C1335" w:rsidRDefault="009C1335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t>по</w:t>
      </w:r>
      <w:proofErr w:type="gramEnd"/>
      <w:r>
        <w:t>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тепловизионному контролю пассажиров и экипажа;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:rsidR="009C1335" w:rsidRDefault="009C1335">
      <w:pPr>
        <w:pStyle w:val="ConsPlusNormal"/>
        <w:jc w:val="both"/>
      </w:pPr>
      <w:r>
        <w:lastRenderedPageBreak/>
        <w:t xml:space="preserve">(п. 4.3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9C1335" w:rsidRDefault="009C1335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4.5. К группам риска заболевания COVID-19 относятся: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79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9C1335" w:rsidRDefault="009C1335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9C1335" w:rsidRDefault="009C1335">
      <w:pPr>
        <w:pStyle w:val="ConsPlusTitle"/>
        <w:jc w:val="center"/>
      </w:pPr>
      <w:r>
        <w:lastRenderedPageBreak/>
        <w:t>и профилактика внутрибольничного инфицирования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t xml:space="preserve"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</w:t>
      </w:r>
      <w:r>
        <w:lastRenderedPageBreak/>
        <w:t>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9C1335" w:rsidRDefault="009C1335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5.10. При патологоанатомических исследованиях трупов людей с подтвержденным или вероятным диагнозом COVID-19 патологоанатом должен соблюдать </w:t>
      </w:r>
      <w:hyperlink r:id="rId25" w:history="1">
        <w:r>
          <w:rPr>
            <w:color w:val="0000FF"/>
          </w:rPr>
          <w:t>требования</w:t>
        </w:r>
      </w:hyperlink>
      <w:r>
        <w:t>, как при работе с возбудителями инфекционных болезней человека II группы патогенности.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9C1335" w:rsidRDefault="009C1335">
      <w:pPr>
        <w:pStyle w:val="ConsPlusTitle"/>
        <w:jc w:val="center"/>
      </w:pPr>
      <w:r>
        <w:t>профилактики COVID-19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 xml:space="preserve">6.3. Текущая дезинфекция в очаге (в присутствии больного) осуществляется в течение всего </w:t>
      </w:r>
      <w:r>
        <w:lastRenderedPageBreak/>
        <w:t>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9C1335" w:rsidRDefault="009C1335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jc w:val="both"/>
      </w:pPr>
    </w:p>
    <w:p w:rsidR="009C1335" w:rsidRDefault="009C1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F08" w:rsidRDefault="00C67F08"/>
    <w:sectPr w:rsidR="00C67F08" w:rsidSect="002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35"/>
    <w:rsid w:val="009C1335"/>
    <w:rsid w:val="00C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EF2249EACCFBAF6002B34FC6B64AE7C6E515C486517B9A3E6275A320668A367AB5941F748D613A6BC8EF69DFE1BC8EEBA46FFFB0AC3k5d9K" TargetMode="External"/><Relationship Id="rId13" Type="http://schemas.openxmlformats.org/officeDocument/2006/relationships/hyperlink" Target="consultantplus://offline/ref=A9CEF2249EACCFBAF6002B34FC6B64AE7A6D5154476D4AB3ABBF2B58350937B460E25540F749D210ABE38BE38CA614CCF6A444E3E708C15AkFd2K" TargetMode="External"/><Relationship Id="rId18" Type="http://schemas.openxmlformats.org/officeDocument/2006/relationships/hyperlink" Target="consultantplus://offline/ref=A9CEF2249EACCFBAF6002B34FC6B64AE7A6D5154476D4AB3ABBF2B58350937B460E25540F749D213ABE38BE38CA614CCF6A444E3E708C15AkFd2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EF2249EACCFBAF6002B34FC6B64AE7A6D5154476D4AB3ABBF2B58350937B460E25540F749D213A4E38BE38CA614CCF6A444E3E708C15AkFd2K" TargetMode="External"/><Relationship Id="rId7" Type="http://schemas.openxmlformats.org/officeDocument/2006/relationships/hyperlink" Target="consultantplus://offline/ref=A9CEF2249EACCFBAF6002B34FC6B64AE7A6E515D4B694AB3ABBF2B58350937B460E25543F441D945FCAC8ABFCAF507CEF2A446E1FBk0dBK" TargetMode="External"/><Relationship Id="rId12" Type="http://schemas.openxmlformats.org/officeDocument/2006/relationships/hyperlink" Target="consultantplus://offline/ref=A9CEF2249EACCFBAF6002B34FC6B64AE7A6D5154476D4AB3ABBF2B58350937B460E25540F749D210A9E38BE38CA614CCF6A444E3E708C15AkFd2K" TargetMode="External"/><Relationship Id="rId17" Type="http://schemas.openxmlformats.org/officeDocument/2006/relationships/hyperlink" Target="consultantplus://offline/ref=A9CEF2249EACCFBAF6002B34FC6B64AE7A6D555546694AB3ABBF2B58350937B460E25540F749D211A9E38BE38CA614CCF6A444E3E708C15AkFd2K" TargetMode="External"/><Relationship Id="rId25" Type="http://schemas.openxmlformats.org/officeDocument/2006/relationships/hyperlink" Target="consultantplus://offline/ref=A9CEF2249EACCFBAF6002B34FC6B64AE7A6F5E544F694AB3ABBF2B58350937B472E20D4CF54FCC11AFF6DDB2CAkFd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EF2249EACCFBAF6002B34FC6B64AE7A6D5154476D4AB3ABBF2B58350937B460E25540F749D213AFE38BE38CA614CCF6A444E3E708C15AkFd2K" TargetMode="External"/><Relationship Id="rId20" Type="http://schemas.openxmlformats.org/officeDocument/2006/relationships/hyperlink" Target="consultantplus://offline/ref=A9CEF2249EACCFBAF6002B34FC6B64AE7A6D5154476D4AB3ABBF2B58350937B460E25540F749D213A5E38BE38CA614CCF6A444E3E708C15AkFd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EF2249EACCFBAF6002B34FC6B64AE7A6D5154476D4AB3ABBF2B58350937B460E25540F749D211AAE38BE38CA614CCF6A444E3E708C15AkFd2K" TargetMode="External"/><Relationship Id="rId11" Type="http://schemas.openxmlformats.org/officeDocument/2006/relationships/hyperlink" Target="consultantplus://offline/ref=A9CEF2249EACCFBAF6002B34FC6B64AE7A6D5154476D4AB3ABBF2B58350937B460E25540F749D210AEE38BE38CA614CCF6A444E3E708C15AkFd2K" TargetMode="External"/><Relationship Id="rId24" Type="http://schemas.openxmlformats.org/officeDocument/2006/relationships/hyperlink" Target="consultantplus://offline/ref=A9CEF2249EACCFBAF6002B34FC6B64AE7A6D5154476D4AB3ABBF2B58350937B460E25540F749D212A8E38BE38CA614CCF6A444E3E708C15AkFd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CEF2249EACCFBAF6002B34FC6B64AE7A6D5154476D4AB3ABBF2B58350937B460E25540F749D210A5E38BE38CA614CCF6A444E3E708C15AkFd2K" TargetMode="External"/><Relationship Id="rId23" Type="http://schemas.openxmlformats.org/officeDocument/2006/relationships/hyperlink" Target="consultantplus://offline/ref=A9CEF2249EACCFBAF6002B34FC6B64AE7A6D5154476D4AB3ABBF2B58350937B460E25540F749D212ACE38BE38CA614CCF6A444E3E708C15AkFd2K" TargetMode="External"/><Relationship Id="rId10" Type="http://schemas.openxmlformats.org/officeDocument/2006/relationships/hyperlink" Target="consultantplus://offline/ref=A9CEF2249EACCFBAF6002B34FC6B64AE7A6D5154476D4AB3ABBF2B58350937B460E25540F749D210AFE38BE38CA614CCF6A444E3E708C15AkFd2K" TargetMode="External"/><Relationship Id="rId19" Type="http://schemas.openxmlformats.org/officeDocument/2006/relationships/hyperlink" Target="consultantplus://offline/ref=A9CEF2249EACCFBAF6002B34FC6B64AE7A6E5E5D466F4AB3ABBF2B58350937B460E25540F749D211AEE38BE38CA614CCF6A444E3E708C15AkF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EF2249EACCFBAF6002B34FC6B64AE7C6E515C486517B9A3E6275A320668A367AB5941F748D315A6BC8EF69DFE1BC8EEBA46FFFB0AC3k5d9K" TargetMode="External"/><Relationship Id="rId14" Type="http://schemas.openxmlformats.org/officeDocument/2006/relationships/hyperlink" Target="consultantplus://offline/ref=A9CEF2249EACCFBAF6002B34FC6B64AE786D575546674AB3ABBF2B58350937B460E25540F749D210AEE38BE38CA614CCF6A444E3E708C15AkFd2K" TargetMode="External"/><Relationship Id="rId22" Type="http://schemas.openxmlformats.org/officeDocument/2006/relationships/hyperlink" Target="consultantplus://offline/ref=A9CEF2249EACCFBAF6002B34FC6B64AE7A6C56594D6F4AB3ABBF2B58350937B460E25540F749D211A4E38BE38CA614CCF6A444E3E708C15AkFd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5165</Words>
  <Characters>29442</Characters>
  <Application>Microsoft Office Word</Application>
  <DocSecurity>0</DocSecurity>
  <Lines>245</Lines>
  <Paragraphs>69</Paragraphs>
  <ScaleCrop>false</ScaleCrop>
  <Company/>
  <LinksUpToDate>false</LinksUpToDate>
  <CharactersWithSpaces>34538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2021-02-26T10:29:00Z</dcterms:created>
  <dcterms:modified xsi:type="dcterms:W3CDTF">2021-02-26T10:30:00Z</dcterms:modified>
</cp:coreProperties>
</file>